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ind w:right="-284" w:hanging="2"/>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Pr>
        <w:drawing>
          <wp:inline distB="0" distT="0" distL="114300" distR="114300">
            <wp:extent cx="447675" cy="608965"/>
            <wp:effectExtent b="0" l="0" r="0" t="0"/>
            <wp:docPr id="102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896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ind w:left="0" w:right="-284" w:hanging="1"/>
        <w:jc w:val="center"/>
        <w:rPr>
          <w:rFonts w:ascii="Times New Roman" w:cs="Times New Roman" w:eastAsia="Times New Roman" w:hAnsi="Times New Roman"/>
          <w:color w:val="000000"/>
          <w:sz w:val="12"/>
          <w:szCs w:val="12"/>
          <w:vertAlign w:val="baseline"/>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ind w:left="2" w:right="-284" w:hanging="4"/>
        <w:jc w:val="center"/>
        <w:rPr>
          <w:rFonts w:ascii="Times New Roman" w:cs="Times New Roman" w:eastAsia="Times New Roman" w:hAnsi="Times New Roman"/>
          <w:color w:val="000000"/>
          <w:sz w:val="36"/>
          <w:szCs w:val="36"/>
          <w:vertAlign w:val="baseline"/>
        </w:rPr>
      </w:pPr>
      <w:r w:rsidDel="00000000" w:rsidR="00000000" w:rsidRPr="00000000">
        <w:rPr>
          <w:rFonts w:ascii="Times New Roman" w:cs="Times New Roman" w:eastAsia="Times New Roman" w:hAnsi="Times New Roman"/>
          <w:b w:val="1"/>
          <w:color w:val="000000"/>
          <w:sz w:val="36"/>
          <w:szCs w:val="36"/>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ind w:left="0" w:right="-284" w:hanging="1"/>
        <w:jc w:val="center"/>
        <w:rPr>
          <w:rFonts w:ascii="Times New Roman" w:cs="Times New Roman" w:eastAsia="Times New Roman" w:hAnsi="Times New Roman"/>
          <w:color w:val="000000"/>
          <w:sz w:val="12"/>
          <w:szCs w:val="12"/>
          <w:vertAlign w:val="baseline"/>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2" w:right="-284" w:hanging="4"/>
        <w:jc w:val="center"/>
        <w:rPr>
          <w:rFonts w:ascii="Times New Roman" w:cs="Times New Roman" w:eastAsia="Times New Roman" w:hAnsi="Times New Roman"/>
          <w:color w:val="000000"/>
          <w:sz w:val="36"/>
          <w:szCs w:val="36"/>
          <w:vertAlign w:val="baseline"/>
        </w:rPr>
      </w:pPr>
      <w:r w:rsidDel="00000000" w:rsidR="00000000" w:rsidRPr="00000000">
        <w:rPr>
          <w:rFonts w:ascii="Times New Roman" w:cs="Times New Roman" w:eastAsia="Times New Roman" w:hAnsi="Times New Roman"/>
          <w:b w:val="1"/>
          <w:color w:val="000000"/>
          <w:sz w:val="36"/>
          <w:szCs w:val="36"/>
          <w:vertAlign w:val="baseline"/>
          <w:rtl w:val="0"/>
        </w:rPr>
        <w:t xml:space="preserve"> Р І Ш Е Н Н Я</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right="-284" w:hanging="2"/>
        <w:rPr>
          <w:rFonts w:ascii="Times New Roman" w:cs="Times New Roman" w:eastAsia="Times New Roman" w:hAnsi="Times New Roman"/>
          <w:color w:val="000000"/>
          <w:sz w:val="20"/>
          <w:szCs w:val="20"/>
          <w:vertAlign w:val="baseline"/>
        </w:rPr>
      </w:pPr>
      <w:r w:rsidDel="00000000" w:rsidR="00000000" w:rsidRPr="00000000">
        <w:rPr>
          <w:rtl w:val="0"/>
        </w:rPr>
      </w:r>
    </w:p>
    <w:p w:rsidR="00000000" w:rsidDel="00000000" w:rsidP="00000000" w:rsidRDefault="00000000" w:rsidRPr="00000000" w14:paraId="00000007">
      <w:pPr>
        <w:ind w:right="-284"/>
        <w:rPr>
          <w:rFonts w:ascii="Times New Roman" w:cs="Times New Roman" w:eastAsia="Times New Roman" w:hAnsi="Times New Roman"/>
          <w:b w:val="1"/>
          <w:color w:val="000000"/>
          <w:sz w:val="28"/>
          <w:szCs w:val="28"/>
          <w:vertAlign w:val="baseline"/>
        </w:rPr>
      </w:pPr>
      <w:r w:rsidDel="00000000" w:rsidR="00000000" w:rsidRPr="00000000">
        <w:rPr>
          <w:rFonts w:ascii="Times New Roman" w:cs="Times New Roman" w:eastAsia="Times New Roman" w:hAnsi="Times New Roman"/>
          <w:b w:val="1"/>
          <w:color w:val="000000"/>
          <w:sz w:val="28"/>
          <w:szCs w:val="28"/>
          <w:vertAlign w:val="baseline"/>
          <w:rtl w:val="0"/>
        </w:rPr>
        <w:t xml:space="preserve">від</w:t>
      </w:r>
      <w:r w:rsidDel="00000000" w:rsidR="00000000" w:rsidRPr="00000000">
        <w:rPr>
          <w:rFonts w:ascii="Times New Roman" w:cs="Times New Roman" w:eastAsia="Times New Roman" w:hAnsi="Times New Roman"/>
          <w:b w:val="1"/>
          <w:sz w:val="28"/>
          <w:szCs w:val="28"/>
          <w:rtl w:val="0"/>
        </w:rPr>
        <w:t xml:space="preserve"> 14 вересня</w:t>
      </w:r>
      <w:r w:rsidDel="00000000" w:rsidR="00000000" w:rsidRPr="00000000">
        <w:rPr>
          <w:rFonts w:ascii="Times New Roman" w:cs="Times New Roman" w:eastAsia="Times New Roman" w:hAnsi="Times New Roman"/>
          <w:b w:val="1"/>
          <w:color w:val="000000"/>
          <w:sz w:val="28"/>
          <w:szCs w:val="28"/>
          <w:vertAlign w:val="baseline"/>
          <w:rtl w:val="0"/>
        </w:rPr>
        <w:t xml:space="preserve"> 2022 року                        м. Сквира                        №</w:t>
      </w:r>
      <w:r w:rsidDel="00000000" w:rsidR="00000000" w:rsidRPr="00000000">
        <w:rPr>
          <w:rFonts w:ascii="Times New Roman" w:cs="Times New Roman" w:eastAsia="Times New Roman" w:hAnsi="Times New Roman"/>
          <w:b w:val="1"/>
          <w:sz w:val="28"/>
          <w:szCs w:val="28"/>
          <w:rtl w:val="0"/>
        </w:rPr>
        <w:t xml:space="preserve">05</w:t>
      </w:r>
      <w:r w:rsidDel="00000000" w:rsidR="00000000" w:rsidRPr="00000000">
        <w:rPr>
          <w:rFonts w:ascii="Times New Roman" w:cs="Times New Roman" w:eastAsia="Times New Roman" w:hAnsi="Times New Roman"/>
          <w:b w:val="1"/>
          <w:color w:val="000000"/>
          <w:sz w:val="28"/>
          <w:szCs w:val="28"/>
          <w:vertAlign w:val="baseline"/>
          <w:rtl w:val="0"/>
        </w:rPr>
        <w:t xml:space="preserve">-24-VIII</w:t>
      </w:r>
    </w:p>
    <w:p w:rsidR="00000000" w:rsidDel="00000000" w:rsidP="00000000" w:rsidRDefault="00000000" w:rsidRPr="00000000" w14:paraId="00000008">
      <w:pPr>
        <w:tabs>
          <w:tab w:val="left" w:pos="4820"/>
          <w:tab w:val="left" w:pos="5670"/>
        </w:tabs>
        <w:spacing w:after="0" w:line="240" w:lineRule="auto"/>
        <w:ind w:right="3548.9763779527566"/>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Положення про порядок отримання та використання благодійних (добровільних) внесків, грантів та дарунків комунальними підприємствами, закладами освіти, соціального захисту, культури, молоді </w:t>
      </w:r>
    </w:p>
    <w:p w:rsidR="00000000" w:rsidDel="00000000" w:rsidP="00000000" w:rsidRDefault="00000000" w:rsidRPr="00000000" w14:paraId="00000009">
      <w:pPr>
        <w:tabs>
          <w:tab w:val="left" w:pos="4820"/>
          <w:tab w:val="left" w:pos="5670"/>
        </w:tabs>
        <w:spacing w:after="0" w:line="240" w:lineRule="auto"/>
        <w:ind w:right="3548.9763779527566"/>
        <w:jc w:val="both"/>
        <w:rPr>
          <w:rFonts w:ascii="Times New Roman" w:cs="Times New Roman" w:eastAsia="Times New Roman" w:hAnsi="Times New Roman"/>
          <w:b w:val="1"/>
          <w:sz w:val="28"/>
          <w:szCs w:val="28"/>
        </w:rPr>
      </w:pPr>
      <w:bookmarkStart w:colFirst="0" w:colLast="0" w:name="_heading=h.k6h0k73bcwy" w:id="0"/>
      <w:bookmarkEnd w:id="0"/>
      <w:r w:rsidDel="00000000" w:rsidR="00000000" w:rsidRPr="00000000">
        <w:rPr>
          <w:rFonts w:ascii="Times New Roman" w:cs="Times New Roman" w:eastAsia="Times New Roman" w:hAnsi="Times New Roman"/>
          <w:b w:val="1"/>
          <w:sz w:val="28"/>
          <w:szCs w:val="28"/>
          <w:rtl w:val="0"/>
        </w:rPr>
        <w:t xml:space="preserve">і спорту Сквирської міської ради</w:t>
      </w:r>
    </w:p>
    <w:p w:rsidR="00000000" w:rsidDel="00000000" w:rsidP="00000000" w:rsidRDefault="00000000" w:rsidRPr="00000000" w14:paraId="0000000A">
      <w:pPr>
        <w:tabs>
          <w:tab w:val="left" w:pos="4820"/>
          <w:tab w:val="left" w:pos="5670"/>
        </w:tabs>
        <w:spacing w:after="0" w:line="240" w:lineRule="auto"/>
        <w:ind w:right="3548.9763779527566"/>
        <w:jc w:val="both"/>
        <w:rPr>
          <w:rFonts w:ascii="Times New Roman" w:cs="Times New Roman" w:eastAsia="Times New Roman" w:hAnsi="Times New Roman"/>
          <w:b w:val="1"/>
          <w:sz w:val="28"/>
          <w:szCs w:val="28"/>
        </w:rPr>
      </w:pPr>
      <w:bookmarkStart w:colFirst="0" w:colLast="0" w:name="_heading=h.hgi2ert99ch" w:id="1"/>
      <w:bookmarkEnd w:id="1"/>
      <w:r w:rsidDel="00000000" w:rsidR="00000000" w:rsidRPr="00000000">
        <w:rPr>
          <w:rtl w:val="0"/>
        </w:rPr>
      </w:r>
    </w:p>
    <w:p w:rsidR="00000000" w:rsidDel="00000000" w:rsidP="00000000" w:rsidRDefault="00000000" w:rsidRPr="00000000" w14:paraId="0000000B">
      <w:pPr>
        <w:spacing w:after="0" w:line="240" w:lineRule="auto"/>
        <w:ind w:right="-284" w:firstLine="567"/>
        <w:jc w:val="both"/>
        <w:rPr>
          <w:rFonts w:ascii="Times New Roman" w:cs="Times New Roman" w:eastAsia="Times New Roman" w:hAnsi="Times New Roman"/>
          <w:sz w:val="28"/>
          <w:szCs w:val="28"/>
        </w:rPr>
      </w:pPr>
      <w:bookmarkStart w:colFirst="0" w:colLast="0" w:name="_heading=h.30j0zll" w:id="2"/>
      <w:bookmarkEnd w:id="2"/>
      <w:r w:rsidDel="00000000" w:rsidR="00000000" w:rsidRPr="00000000">
        <w:rPr>
          <w:rFonts w:ascii="Times New Roman" w:cs="Times New Roman" w:eastAsia="Times New Roman" w:hAnsi="Times New Roman"/>
          <w:sz w:val="28"/>
          <w:szCs w:val="28"/>
          <w:rtl w:val="0"/>
        </w:rPr>
        <w:t xml:space="preserve">Розглянувши подання міського голови про внесення на чергове засідання сесії Сквирської міської ради розгляд питання «Про затвердження Положення про порядок отримання та використання благодійних (добровільних) внесків, грантів та дарунків комунальними підприємствами, закладами освіти, соціального захисту, культури, молоді і спорту Сквирської міської ради», відповідно до Господарського кодексу України, законів України «Про місцеве самоврядування в Україні», «Про благодійну діяльність та благодійні організації»,</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з метою вдосконалення та впорядкування отримання, оформлення та використання благодійної допомоги</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комунальними підприємствами, закладами освіти, соціального захисту, культури, молоді і спорту Сквирської міської ради, враховуючи рекомендації постійної комісії Сквирської міської ради з питань соціального захисту, освіти, охорони здоров’я, культури та релігії, Сквирська міська рада VIII скликання</w:t>
      </w:r>
    </w:p>
    <w:p w:rsidR="00000000" w:rsidDel="00000000" w:rsidP="00000000" w:rsidRDefault="00000000" w:rsidRPr="00000000" w14:paraId="0000000C">
      <w:pPr>
        <w:spacing w:after="0" w:line="240" w:lineRule="auto"/>
        <w:ind w:right="-284" w:firstLine="567"/>
        <w:jc w:val="both"/>
        <w:rPr>
          <w:rFonts w:ascii="Times New Roman" w:cs="Times New Roman" w:eastAsia="Times New Roman" w:hAnsi="Times New Roman"/>
          <w:sz w:val="28"/>
          <w:szCs w:val="28"/>
        </w:rPr>
      </w:pPr>
      <w:bookmarkStart w:colFirst="0" w:colLast="0" w:name="_heading=h.2rqnzeqeb34m" w:id="3"/>
      <w:bookmarkEnd w:id="3"/>
      <w:r w:rsidDel="00000000" w:rsidR="00000000" w:rsidRPr="00000000">
        <w:rPr>
          <w:rtl w:val="0"/>
        </w:rPr>
      </w:r>
    </w:p>
    <w:p w:rsidR="00000000" w:rsidDel="00000000" w:rsidP="00000000" w:rsidRDefault="00000000" w:rsidRPr="00000000" w14:paraId="0000000D">
      <w:pPr>
        <w:spacing w:after="0" w:line="240" w:lineRule="auto"/>
        <w:ind w:right="-284"/>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E">
      <w:pPr>
        <w:spacing w:after="0" w:line="240" w:lineRule="auto"/>
        <w:ind w:right="-284"/>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numPr>
          <w:ilvl w:val="0"/>
          <w:numId w:val="3"/>
        </w:numPr>
        <w:spacing w:after="0" w:line="240" w:lineRule="auto"/>
        <w:ind w:left="0" w:right="-284"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Затвердити Положення про порядок отримання та використання благодійних (добровільних) внесків, грантів та дарунків комунальними підприємствами, закладами освіти, соціального захисту, культури, молоді і спорту Сквирської міської ради (далі Положення), що додається.</w:t>
      </w:r>
    </w:p>
    <w:p w:rsidR="00000000" w:rsidDel="00000000" w:rsidP="00000000" w:rsidRDefault="00000000" w:rsidRPr="00000000" w14:paraId="00000010">
      <w:pPr>
        <w:numPr>
          <w:ilvl w:val="0"/>
          <w:numId w:val="3"/>
        </w:numPr>
        <w:spacing w:after="0" w:line="240" w:lineRule="auto"/>
        <w:ind w:left="0" w:right="-284"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Керівникам комунальних підприємств, закладам освіти, соціального захисту, культури, молоді і спорту Сквирської міської ради забезпечити виконання даного Положення.</w:t>
      </w:r>
    </w:p>
    <w:p w:rsidR="00000000" w:rsidDel="00000000" w:rsidP="00000000" w:rsidRDefault="00000000" w:rsidRPr="00000000" w14:paraId="00000011">
      <w:pPr>
        <w:numPr>
          <w:ilvl w:val="0"/>
          <w:numId w:val="3"/>
        </w:numPr>
        <w:shd w:fill="ffffff" w:val="clear"/>
        <w:spacing w:after="200" w:line="240" w:lineRule="auto"/>
        <w:ind w:left="0" w:right="-284"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Контроль за виконанням цього рішення покласти на постійну комісію Сквирської міської ради </w:t>
      </w:r>
      <w:r w:rsidDel="00000000" w:rsidR="00000000" w:rsidRPr="00000000">
        <w:rPr>
          <w:rFonts w:ascii="Times New Roman" w:cs="Times New Roman" w:eastAsia="Times New Roman" w:hAnsi="Times New Roman"/>
          <w:color w:val="202020"/>
          <w:sz w:val="28"/>
          <w:szCs w:val="28"/>
          <w:highlight w:val="white"/>
          <w:rtl w:val="0"/>
        </w:rPr>
        <w:t xml:space="preserve">з питань соціального захисту, освіти, охорони здоров’я, культури та релігії.</w:t>
      </w:r>
      <w:r w:rsidDel="00000000" w:rsidR="00000000" w:rsidRPr="00000000">
        <w:rPr>
          <w:rtl w:val="0"/>
        </w:rPr>
      </w:r>
    </w:p>
    <w:p w:rsidR="00000000" w:rsidDel="00000000" w:rsidP="00000000" w:rsidRDefault="00000000" w:rsidRPr="00000000" w14:paraId="00000012">
      <w:pPr>
        <w:spacing w:after="0" w:line="240" w:lineRule="auto"/>
        <w:ind w:right="-284"/>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Міськ</w:t>
      </w:r>
      <w:r w:rsidDel="00000000" w:rsidR="00000000" w:rsidRPr="00000000">
        <w:rPr>
          <w:rFonts w:ascii="Times New Roman" w:cs="Times New Roman" w:eastAsia="Times New Roman" w:hAnsi="Times New Roman"/>
          <w:b w:val="1"/>
          <w:sz w:val="28"/>
          <w:szCs w:val="28"/>
          <w:rtl w:val="0"/>
        </w:rPr>
        <w:t xml:space="preserve">а</w:t>
      </w:r>
      <w:r w:rsidDel="00000000" w:rsidR="00000000" w:rsidRPr="00000000">
        <w:rPr>
          <w:rFonts w:ascii="Times New Roman" w:cs="Times New Roman" w:eastAsia="Times New Roman" w:hAnsi="Times New Roman"/>
          <w:b w:val="1"/>
          <w:color w:val="000000"/>
          <w:sz w:val="28"/>
          <w:szCs w:val="28"/>
          <w:rtl w:val="0"/>
        </w:rPr>
        <w:t xml:space="preserve"> голова   </w:t>
        <w:tab/>
        <w:tab/>
        <w:tab/>
        <w:t xml:space="preserve">                   </w:t>
        <w:tab/>
        <w:tab/>
        <w:t xml:space="preserve">          Валентина ЛЕВІЦЬКА</w:t>
      </w:r>
    </w:p>
    <w:p w:rsidR="00000000" w:rsidDel="00000000" w:rsidP="00000000" w:rsidRDefault="00000000" w:rsidRPr="00000000" w14:paraId="00000013">
      <w:pPr>
        <w:spacing w:after="0" w:lineRule="auto"/>
        <w:ind w:right="-284"/>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0" w:lineRule="auto"/>
        <w:ind w:right="-284" w:firstLine="5811.023622047243"/>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5">
      <w:pPr>
        <w:spacing w:after="0" w:lineRule="auto"/>
        <w:ind w:right="-284" w:firstLine="5811.023622047243"/>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Додаток</w:t>
      </w:r>
    </w:p>
    <w:p w:rsidR="00000000" w:rsidDel="00000000" w:rsidP="00000000" w:rsidRDefault="00000000" w:rsidRPr="00000000" w14:paraId="00000016">
      <w:pPr>
        <w:spacing w:after="0" w:lineRule="auto"/>
        <w:ind w:right="-284" w:firstLine="5811.023622047243"/>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до рішення Сквирської</w:t>
      </w:r>
    </w:p>
    <w:p w:rsidR="00000000" w:rsidDel="00000000" w:rsidP="00000000" w:rsidRDefault="00000000" w:rsidRPr="00000000" w14:paraId="00000017">
      <w:pPr>
        <w:spacing w:after="0" w:lineRule="auto"/>
        <w:ind w:right="-284" w:firstLine="5811.023622047243"/>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міської ради від 14.09.2022 року   </w:t>
      </w:r>
    </w:p>
    <w:p w:rsidR="00000000" w:rsidDel="00000000" w:rsidP="00000000" w:rsidRDefault="00000000" w:rsidRPr="00000000" w14:paraId="00000018">
      <w:pPr>
        <w:spacing w:after="0" w:lineRule="auto"/>
        <w:ind w:right="-284" w:firstLine="5811.023622047243"/>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№05-24-VIII    </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19">
      <w:pPr>
        <w:spacing w:after="0" w:lineRule="auto"/>
        <w:ind w:right="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0" w:lineRule="auto"/>
        <w:ind w:right="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Положення</w:t>
      </w:r>
    </w:p>
    <w:p w:rsidR="00000000" w:rsidDel="00000000" w:rsidP="00000000" w:rsidRDefault="00000000" w:rsidRPr="00000000" w14:paraId="0000001B">
      <w:pPr>
        <w:spacing w:after="0" w:lineRule="auto"/>
        <w:ind w:right="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порядок отримання та використання благодійних (добровільних) внесків, грантів та дарунків комунальними підприємствами, закладами освіти, соціального захисту, культури, молоді і спорту </w:t>
      </w:r>
    </w:p>
    <w:p w:rsidR="00000000" w:rsidDel="00000000" w:rsidP="00000000" w:rsidRDefault="00000000" w:rsidRPr="00000000" w14:paraId="0000001C">
      <w:pPr>
        <w:spacing w:after="0" w:lineRule="auto"/>
        <w:ind w:right="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 </w:t>
      </w:r>
    </w:p>
    <w:p w:rsidR="00000000" w:rsidDel="00000000" w:rsidP="00000000" w:rsidRDefault="00000000" w:rsidRPr="00000000" w14:paraId="0000001D">
      <w:pPr>
        <w:spacing w:after="0" w:lineRule="auto"/>
        <w:ind w:right="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ЗАГАЛЬНІ ПОЛОЖЕННЯ</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bookmarkStart w:colFirst="0" w:colLast="0" w:name="_heading=h.tyjcwt" w:id="4"/>
      <w:bookmarkEnd w:id="4"/>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Дане Положення розроблене відповідно до Закону України «Про благодійну діяльність та благодійні організації» від 05.07.2012 р. № 5073-VI, Податкового Кодексу України від 2 грудня 2010 р. № 2755-VI (зі змінами), Порядку отримання благодійних (добровільних) внесків і пожертв від юридичних та фізичних осіб бюджетними установами і закладами освіти, охорони здоров’я, соціального захисту, культури, науки, спорту та фізичного виховання для потреб їх фінансування», затвердженого постановою Кабінету Міністрів України від 04 серпня 2000 року (зі змінами), Порядку розподілу товарів, отриманих як благодійна допомога, та контролю за цільовим розподілом благодійної допомоги у вигляді наданих послуг або виконаних робіт», затверджених постановою Кабінету Міністрів України віл 17 серпня 1988 р. № 1295 (зі змінами).</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цьому Положенні терміни вживаються в такому значенні:</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Бенефіціар – комунальні підприємства, заклади освіти, соціального захисту, культури, молоді і спорту Сквирської міської ради як набувачі благодійної допомоги, що одержують допомогу від одного чи кількох благодійників для досягнення цілей, визначених Статутом, цим Положенням та не суперечить вимогам законодавства України.</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Благодійна діяльність – добровільна особиста та/або майнова допомога для досягнення бенефіціаром цілей. Що передбачені Статутом і цим Положенням, та не передбачає одержання благодійником прибутку, а також сплати будь-якої винагороди або компенсації благодійнику від імені або за дорученням бенефіціара.</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Благодійниками можуть бути фізичні та юридичні особи, які здійснюють благодійництво в інтересах бенефіціарів – комунальних підприємств, закладів освіти, соціального захисту, культури, молоді і спорту Сквирської міської ради (далі – підприємство).</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Суб’єкти благодійництва можуть надавати благодійну допомогу підприємству у вигляді:</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одноразової фінансової, матеріальної та іншої допомоги;</w:t>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систематичної фінансової, матеріальної та іншої допомоги;</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фінансування конкретних цільових програм;</w:t>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допомоги на основі договорів (контрактів) про благодійну діяльність;</w:t>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дарування або дозволу на безоплатне (пільгове) використання об’єктів власності;</w:t>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прийняття на себе витрат по безоплатному або частковому утриманню об’єктів благодійництва;</w:t>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інших заходів, не заборонених законом.</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450" w:right="0" w:hanging="450"/>
        <w:jc w:val="center"/>
        <w:rPr>
          <w:rFonts w:ascii="Times New Roman" w:cs="Times New Roman" w:eastAsia="Times New Roman" w:hAnsi="Times New Roman"/>
          <w:b w:val="1"/>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ПОРЯДОК ОТРИМАННЯ ТА ОФОРМЛЕННЯ БЛАГОДІЙНОЇ ДОПОМОГИ</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Між благодійниками та підприємством може бути укладено договір про надання благодійної допомоги, в якому можуть бути визначені:</w:t>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механізм регулювання процедури прийняття і використання допомоги на потреби підприємства;</w:t>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порядок розподілу благодійної допомоги;</w:t>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перелік благодійної допомоги;</w:t>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строки надання благодійної допомоги;</w:t>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порядок здійснення контролю за використанням благодійної допомоги.</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Благодійна допомога може надаватися благодійниками у грошовій формі для потреб фінансування підприємства за напрямами видатків, визначених благодійником, а також як дарунки, роботи (послуги).</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Якщо благодійником не визначено конкретні цілі використання коштів, шляхи спрямування благодійної допомоги визначає керівник підприємства з урахуванням першочергових потреб, пов’язаних виключно з основною діяльністю закладу та рекомендаціями Засновника.</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договорі про надання благодійної допомоги не може бути передбачено спрямування коштів, отриманих як благодійні (добровільні) внески і пожертви від юридичних та фізичних осіб на виплату заробітної плати та стимулюючі виплати до заробітної плати.</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Благодійні внески у грошовій формі зараховуються на окремий рахунок, відкритий в  банку.</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разі отримання бенефіціаром благодійної допомоги у вигляді дарунка, робіт чи послуг:</w:t>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дарунок (робота чи послуги) передається благодійником із первинними документами або іншими документами, що підтверджують вартість його придбання (створення);</w:t>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оцінки вартості дарунка, вирішення питання щодо можливості його використання, місця та строки зберігання, підприємство створює комісію у складі не менше як п’ять осіб, включаючи: представника засновника; працівника фінансово-бухгалтерської служби.</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Якщо благодійна допомога передається у вигляді дарунка, то така допомога оформлюється на основі отриманих первинних документів:</w:t>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договору між підприємством та юридичною або фізичною особою про надання благодійної допомоги із зазначенням цільового характеру такої допомоги;</w:t>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листа благодійника;</w:t>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клопотання, адресованого підприємству з підтвердженням його задоволення;</w:t>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накладних на відпуск товарів, актів приймання-передачі основних засобів, актів приймання-передачі виконаних робіт (наданих послуг), квитанцій, платіжних доручень;</w:t>
      </w:r>
    </w:p>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заяви фізичної або юридичної особи на ім’я директора про надання благодійної допомоги.</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Операції, пов’язані з передачею благодійних (добровільних) внесків підприємству, відображаються в бухгалтерському обліку відповідно до законодавства.</w:t>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450" w:right="0" w:hanging="450"/>
        <w:jc w:val="center"/>
        <w:rPr>
          <w:rFonts w:ascii="Times New Roman" w:cs="Times New Roman" w:eastAsia="Times New Roman" w:hAnsi="Times New Roman"/>
          <w:b w:val="1"/>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ПОРЯДОК ТА ФОРМА КОНТРОЛЮ ЗА ВИКОРИСТАННЯМ БЛАГОДІЙНОЇ ДОПОМОГИ (ПОЖЕРТВИ)</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Контролю за цільовим призначенням благодійної допомоги, у тому числі на користь третіх осіб, має право благодійник або уповноважена ним особа з урахуванням рекомендацій відповідних органів виконавчої влади та органів місцевого самоврядування.</w:t>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Бенефіціар проводить широку роз’яснювальну роботу серед благодійників про мету цільового використання благодійної допомоги (пожертви), визначені даним Положенням.</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письмове звернення благодійника чи у інший спосіб, визначений договором, бенефіціар у строк, який не перевищує 15 (п'ятнадцять) календарних днів від дня отримання письмового запиту, зобов’язаний надати благодійнику усю необхідну інформацію щодо цілей та напрямів використання благодійної допомоги, наданої відповідним благодійником.</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0" w:right="0" w:firstLine="567"/>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отриманням, зберіганням, розподілом благодійної допомоги у вигляді товарів, робіт, послуг здійснює Засновник, а за їх цільовим використанням – місцеві органи виконавчої влади.</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567"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IV. </w:t>
      </w:r>
      <w:r w:rsidDel="00000000" w:rsidR="00000000" w:rsidRPr="00000000">
        <w:rPr>
          <w:rFonts w:ascii="Times New Roman" w:cs="Times New Roman" w:eastAsia="Times New Roman" w:hAnsi="Times New Roman"/>
          <w:b w:val="1"/>
          <w:sz w:val="28"/>
          <w:szCs w:val="28"/>
          <w:rtl w:val="0"/>
        </w:rPr>
        <w:t xml:space="preserve">ВІДПОВІДАЛЬНІСТЬ</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ЗА ПОРУШЕННЯ ЗАКОНОДАВСТВА В СФЕРІ БЛАГОДІЙНОЇ ДІЯЛЬНОСТІ</w:t>
      </w:r>
    </w:p>
    <w:p w:rsidR="00000000" w:rsidDel="00000000" w:rsidP="00000000" w:rsidRDefault="00000000" w:rsidRPr="00000000" w14:paraId="00000046">
      <w:pPr>
        <w:spacing w:after="0" w:lineRule="auto"/>
        <w:ind w:righ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4.1. Відповідальність за дотриманням вимог даного Положення покладається на керівника та головного бухгалтера підприємства.</w:t>
      </w:r>
    </w:p>
    <w:p w:rsidR="00000000" w:rsidDel="00000000" w:rsidP="00000000" w:rsidRDefault="00000000" w:rsidRPr="00000000" w14:paraId="00000047">
      <w:pPr>
        <w:spacing w:after="0" w:lineRule="auto"/>
        <w:ind w:righ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4.2. У разі порушення даного Положення та законодавства України щодо цілей та напрямів використання благодійних внесків (пожертв), дії посадових осіб підприємства будуть розцінюватись, як нецільове використання бюджетних коштів.</w:t>
      </w:r>
    </w:p>
    <w:p w:rsidR="00000000" w:rsidDel="00000000" w:rsidP="00000000" w:rsidRDefault="00000000" w:rsidRPr="00000000" w14:paraId="00000048">
      <w:pPr>
        <w:spacing w:after="0" w:lineRule="auto"/>
        <w:ind w:right="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9">
      <w:pPr>
        <w:spacing w:after="0" w:lineRule="auto"/>
        <w:ind w:right="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міської ради </w:t>
        <w:tab/>
        <w:tab/>
        <w:tab/>
        <w:tab/>
        <w:tab/>
        <w:t xml:space="preserve">   Тетяна ВЛАСЮК</w:t>
      </w:r>
    </w:p>
    <w:sectPr>
      <w:pgSz w:h="16838" w:w="11906" w:orient="portrait"/>
      <w:pgMar w:bottom="1134" w:top="992.1259842519685" w:left="1701" w:right="577.204724409448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50" w:hanging="450"/>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800" w:hanging="180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2">
    <w:lvl w:ilvl="0">
      <w:start w:val="1"/>
      <w:numFmt w:val="bullet"/>
      <w:lvlText w:val="-"/>
      <w:lvlJc w:val="left"/>
      <w:pPr>
        <w:ind w:left="927" w:hanging="360"/>
      </w:pPr>
      <w:rPr>
        <w:rFonts w:ascii="Times New Roman" w:cs="Times New Roman" w:eastAsia="Times New Roman" w:hAnsi="Times New Roman"/>
      </w:rPr>
    </w:lvl>
    <w:lvl w:ilvl="1">
      <w:start w:val="1"/>
      <w:numFmt w:val="bullet"/>
      <w:lvlText w:val="o"/>
      <w:lvlJc w:val="left"/>
      <w:pPr>
        <w:ind w:left="1647" w:hanging="360"/>
      </w:pPr>
      <w:rPr>
        <w:rFonts w:ascii="Courier New" w:cs="Courier New" w:eastAsia="Courier New" w:hAnsi="Courier New"/>
      </w:rPr>
    </w:lvl>
    <w:lvl w:ilvl="2">
      <w:start w:val="1"/>
      <w:numFmt w:val="bullet"/>
      <w:lvlText w:val="▪"/>
      <w:lvlJc w:val="left"/>
      <w:pPr>
        <w:ind w:left="2367" w:hanging="360"/>
      </w:pPr>
      <w:rPr>
        <w:rFonts w:ascii="Noto Sans Symbols" w:cs="Noto Sans Symbols" w:eastAsia="Noto Sans Symbols" w:hAnsi="Noto Sans Symbols"/>
      </w:rPr>
    </w:lvl>
    <w:lvl w:ilvl="3">
      <w:start w:val="1"/>
      <w:numFmt w:val="bullet"/>
      <w:lvlText w:val="●"/>
      <w:lvlJc w:val="left"/>
      <w:pPr>
        <w:ind w:left="3087" w:hanging="360"/>
      </w:pPr>
      <w:rPr>
        <w:rFonts w:ascii="Noto Sans Symbols" w:cs="Noto Sans Symbols" w:eastAsia="Noto Sans Symbols" w:hAnsi="Noto Sans Symbols"/>
      </w:rPr>
    </w:lvl>
    <w:lvl w:ilvl="4">
      <w:start w:val="1"/>
      <w:numFmt w:val="bullet"/>
      <w:lvlText w:val="o"/>
      <w:lvlJc w:val="left"/>
      <w:pPr>
        <w:ind w:left="3807" w:hanging="360"/>
      </w:pPr>
      <w:rPr>
        <w:rFonts w:ascii="Courier New" w:cs="Courier New" w:eastAsia="Courier New" w:hAnsi="Courier New"/>
      </w:rPr>
    </w:lvl>
    <w:lvl w:ilvl="5">
      <w:start w:val="1"/>
      <w:numFmt w:val="bullet"/>
      <w:lvlText w:val="▪"/>
      <w:lvlJc w:val="left"/>
      <w:pPr>
        <w:ind w:left="4527" w:hanging="360"/>
      </w:pPr>
      <w:rPr>
        <w:rFonts w:ascii="Noto Sans Symbols" w:cs="Noto Sans Symbols" w:eastAsia="Noto Sans Symbols" w:hAnsi="Noto Sans Symbols"/>
      </w:rPr>
    </w:lvl>
    <w:lvl w:ilvl="6">
      <w:start w:val="1"/>
      <w:numFmt w:val="bullet"/>
      <w:lvlText w:val="●"/>
      <w:lvlJc w:val="left"/>
      <w:pPr>
        <w:ind w:left="5247" w:hanging="360"/>
      </w:pPr>
      <w:rPr>
        <w:rFonts w:ascii="Noto Sans Symbols" w:cs="Noto Sans Symbols" w:eastAsia="Noto Sans Symbols" w:hAnsi="Noto Sans Symbols"/>
      </w:rPr>
    </w:lvl>
    <w:lvl w:ilvl="7">
      <w:start w:val="1"/>
      <w:numFmt w:val="bullet"/>
      <w:lvlText w:val="o"/>
      <w:lvlJc w:val="left"/>
      <w:pPr>
        <w:ind w:left="5967" w:hanging="360"/>
      </w:pPr>
      <w:rPr>
        <w:rFonts w:ascii="Courier New" w:cs="Courier New" w:eastAsia="Courier New" w:hAnsi="Courier New"/>
      </w:rPr>
    </w:lvl>
    <w:lvl w:ilvl="8">
      <w:start w:val="1"/>
      <w:numFmt w:val="bullet"/>
      <w:lvlText w:val="▪"/>
      <w:lvlJc w:val="left"/>
      <w:pPr>
        <w:ind w:left="6687"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b w:val="0"/>
      </w:rPr>
    </w:lvl>
    <w:lvl w:ilvl="1">
      <w:start w:val="1"/>
      <w:numFmt w:val="decimal"/>
      <w:lvlText w:val="%1.%2."/>
      <w:lvlJc w:val="left"/>
      <w:pPr>
        <w:ind w:left="1440" w:hanging="720"/>
      </w:pPr>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4320" w:hanging="1800"/>
      </w:pPr>
      <w:rPr/>
    </w:lvl>
    <w:lvl w:ilvl="7">
      <w:start w:val="1"/>
      <w:numFmt w:val="decimal"/>
      <w:lvlText w:val="%1.%2.%3.%4.%5.%6.%7.%8."/>
      <w:lvlJc w:val="left"/>
      <w:pPr>
        <w:ind w:left="4680" w:hanging="1800"/>
      </w:pPr>
      <w:rPr/>
    </w:lvl>
    <w:lvl w:ilvl="8">
      <w:start w:val="1"/>
      <w:numFmt w:val="decimal"/>
      <w:lvlText w:val="%1.%2.%3.%4.%5.%6.%7.%8.%9."/>
      <w:lvlJc w:val="left"/>
      <w:pPr>
        <w:ind w:left="5400" w:hanging="21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91F70"/>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uiPriority w:val="34"/>
    <w:qFormat w:val="1"/>
    <w:rsid w:val="000134AE"/>
    <w:pPr>
      <w:ind w:left="720"/>
      <w:contextualSpacing w:val="1"/>
    </w:pPr>
  </w:style>
  <w:style w:type="paragraph" w:styleId="a4">
    <w:name w:val="Balloon Text"/>
    <w:basedOn w:val="a"/>
    <w:link w:val="a5"/>
    <w:uiPriority w:val="99"/>
    <w:semiHidden w:val="1"/>
    <w:unhideWhenUsed w:val="1"/>
    <w:rsid w:val="00807FFB"/>
    <w:pPr>
      <w:spacing w:after="0" w:line="240" w:lineRule="auto"/>
    </w:pPr>
    <w:rPr>
      <w:rFonts w:ascii="Segoe UI" w:cs="Segoe UI" w:hAnsi="Segoe UI"/>
      <w:sz w:val="18"/>
      <w:szCs w:val="18"/>
    </w:rPr>
  </w:style>
  <w:style w:type="character" w:styleId="a5" w:customStyle="1">
    <w:name w:val="Текст выноски Знак"/>
    <w:basedOn w:val="a0"/>
    <w:link w:val="a4"/>
    <w:uiPriority w:val="99"/>
    <w:semiHidden w:val="1"/>
    <w:rsid w:val="00807FFB"/>
    <w:rPr>
      <w:rFonts w:ascii="Segoe UI" w:cs="Segoe UI" w:hAnsi="Segoe UI"/>
      <w:sz w:val="18"/>
      <w:szCs w:val="18"/>
    </w:rPr>
  </w:style>
  <w:style w:type="paragraph" w:styleId="a6">
    <w:name w:val="Normal (Web)"/>
    <w:basedOn w:val="a"/>
    <w:uiPriority w:val="99"/>
    <w:semiHidden w:val="1"/>
    <w:unhideWhenUsed w:val="1"/>
    <w:rsid w:val="009E1828"/>
    <w:pPr>
      <w:spacing w:after="100" w:afterAutospacing="1" w:before="100" w:beforeAutospacing="1" w:line="240" w:lineRule="auto"/>
    </w:pPr>
    <w:rPr>
      <w:rFonts w:ascii="Times New Roman" w:cs="Times New Roman" w:eastAsia="Times New Roman" w:hAnsi="Times New Roman"/>
      <w:sz w:val="24"/>
      <w:szCs w:val="24"/>
      <w:lang w:eastAsia="ru-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6Y04xIYMvpBTkbynDDoQ+yy4EA==">AMUW2mVf25pYViwwUmwlDFzTvOSfzk7fntVl3ix6CcuCa5mjriBy70fQinBYvxw+shPsyI0/k2cGIbVLfhFwku+Fh1+pz6ecVnucQU77O8UCzjoIGZmGKa4MxWCfw38bTdcvH998jGezTOgB3YRdsX0TbCwjlQkSyAerVeFvanm/YioiHOK53dF5G+JXSGwRVs3lyDHHnIFw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2022-07-25T07:48:00Z</dcterms:created>
  <dc:creator>Людмила</dc:creator>
</cp:coreProperties>
</file>